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EF4B6" w14:textId="239CBE02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i/>
          <w:i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</w:rPr>
        <w:t xml:space="preserve">Publicly Available Disclosure </w:t>
      </w:r>
      <w:r w:rsidR="00D171E5" w:rsidRPr="00D171E5">
        <w:rPr>
          <w:rFonts w:ascii="Montserrat-Italic" w:hAnsi="Montserrat-Italic" w:cs="Montserrat-Italic"/>
          <w:kern w:val="0"/>
          <w:sz w:val="20"/>
          <w:szCs w:val="20"/>
        </w:rPr>
        <w:t xml:space="preserve">– </w:t>
      </w:r>
      <w:bookmarkStart w:id="0" w:name="_Hlk185328361"/>
      <w:r w:rsidR="007354B1">
        <w:rPr>
          <w:rFonts w:ascii="Montserrat-Italic" w:hAnsi="Montserrat-Italic" w:cs="Montserrat-Italic"/>
          <w:kern w:val="0"/>
          <w:sz w:val="20"/>
          <w:szCs w:val="20"/>
        </w:rPr>
        <w:t>The Finance Team</w:t>
      </w:r>
      <w:r w:rsidR="00D171E5" w:rsidRPr="00D171E5">
        <w:rPr>
          <w:rFonts w:ascii="Montserrat-Italic" w:hAnsi="Montserrat-Italic" w:cs="Montserrat-Italic"/>
          <w:kern w:val="0"/>
          <w:sz w:val="20"/>
          <w:szCs w:val="20"/>
        </w:rPr>
        <w:t xml:space="preserve"> Limited</w:t>
      </w:r>
      <w:bookmarkEnd w:id="0"/>
    </w:p>
    <w:p w14:paraId="3034D52C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6BEED124" w14:textId="43550886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This document sets out the information that our business is required to make publicly</w:t>
      </w:r>
    </w:p>
    <w:p w14:paraId="43DA48FD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available in accordance with the Financial Markets Conduct Regulations 2014 to help you</w:t>
      </w:r>
    </w:p>
    <w:p w14:paraId="282EF5F1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decide if you want to seek our advice.</w:t>
      </w:r>
    </w:p>
    <w:p w14:paraId="16F8BA45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2C9DE4D6" w14:textId="385D4E71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i/>
          <w:iCs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Company Name: </w:t>
      </w:r>
      <w:r w:rsidR="007354B1">
        <w:rPr>
          <w:rFonts w:ascii="Montserrat-Regular" w:hAnsi="Montserrat-Regular" w:cs="Montserrat-Regular"/>
          <w:kern w:val="0"/>
          <w:sz w:val="20"/>
          <w:szCs w:val="20"/>
        </w:rPr>
        <w:t>The Finance Team Limited</w:t>
      </w:r>
    </w:p>
    <w:p w14:paraId="4060A7C1" w14:textId="6C19E46E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FSP Number: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="007354B1" w:rsidRPr="007354B1">
        <w:rPr>
          <w:rFonts w:ascii="Montserrat-Regular" w:hAnsi="Montserrat-Regular" w:cs="Montserrat-Regular"/>
          <w:kern w:val="0"/>
          <w:sz w:val="20"/>
          <w:szCs w:val="20"/>
        </w:rPr>
        <w:t>1002648</w:t>
      </w:r>
    </w:p>
    <w:p w14:paraId="571071ED" w14:textId="3D7364D8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Phone Number: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="007354B1" w:rsidRPr="007354B1">
        <w:rPr>
          <w:rFonts w:ascii="Montserrat-Regular" w:hAnsi="Montserrat-Regular" w:cs="Montserrat-Regular"/>
          <w:kern w:val="0"/>
          <w:sz w:val="20"/>
          <w:szCs w:val="20"/>
        </w:rPr>
        <w:t>06 833 6149</w:t>
      </w:r>
    </w:p>
    <w:p w14:paraId="78C0C107" w14:textId="779E1AE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Email: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hyperlink r:id="rId5" w:history="1">
        <w:r w:rsidR="007354B1" w:rsidRPr="0080515D">
          <w:rPr>
            <w:rStyle w:val="Hyperlink"/>
            <w:rFonts w:ascii="Montserrat-Regular" w:hAnsi="Montserrat-Regular" w:cs="Montserrat-Regular"/>
            <w:kern w:val="0"/>
            <w:sz w:val="20"/>
            <w:szCs w:val="20"/>
          </w:rPr>
          <w:t>i</w:t>
        </w:r>
        <w:r w:rsidR="007354B1" w:rsidRPr="0080515D">
          <w:rPr>
            <w:rStyle w:val="Hyperlink"/>
            <w:rFonts w:ascii="Montserrat-Regular" w:hAnsi="Montserrat-Regular" w:cs="Montserrat-Regular"/>
            <w:kern w:val="0"/>
            <w:sz w:val="20"/>
            <w:szCs w:val="20"/>
          </w:rPr>
          <w:t>nfo@theteam.co.nz</w:t>
        </w:r>
      </w:hyperlink>
      <w:r w:rsidR="007354B1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</w:p>
    <w:p w14:paraId="519AAF82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</w:p>
    <w:p w14:paraId="15BA2301" w14:textId="5F0EB09F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Licensing information</w:t>
      </w:r>
    </w:p>
    <w:p w14:paraId="554C7BF9" w14:textId="6BD3BB5B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We operate as an Authorised Body under a Financial Advice Provider licence issued by the Financial Markets Authority in the name of NZ Financial Services Group Limited (</w:t>
      </w: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NZFSG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) (FSP286965).</w:t>
      </w:r>
    </w:p>
    <w:p w14:paraId="1A37D8A9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723CD5B2" w14:textId="364BEFB6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There are no conditions attached to this licence on the advice that may be given.</w:t>
      </w:r>
    </w:p>
    <w:p w14:paraId="1561009E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</w:p>
    <w:p w14:paraId="22DF107E" w14:textId="6B7F8011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Our Duties</w:t>
      </w:r>
    </w:p>
    <w:p w14:paraId="4560B0F1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i/>
          <w:iCs/>
          <w:kern w:val="0"/>
          <w:sz w:val="20"/>
          <w:szCs w:val="20"/>
        </w:rPr>
      </w:pPr>
    </w:p>
    <w:p w14:paraId="267B9018" w14:textId="536DD6CD" w:rsidR="00920982" w:rsidRPr="00D171E5" w:rsidRDefault="007354B1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>
        <w:rPr>
          <w:rFonts w:ascii="Montserrat-Regular" w:hAnsi="Montserrat-Regular" w:cs="Montserrat-Regular"/>
          <w:kern w:val="0"/>
          <w:sz w:val="20"/>
          <w:szCs w:val="20"/>
        </w:rPr>
        <w:t>The Finance Team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Limited</w:t>
      </w:r>
      <w:r w:rsidR="00920982" w:rsidRPr="00D171E5">
        <w:rPr>
          <w:rFonts w:ascii="Montserrat-Italic" w:hAnsi="Montserrat-Italic" w:cs="Montserrat-Italic"/>
          <w:i/>
          <w:iCs/>
          <w:kern w:val="0"/>
          <w:sz w:val="20"/>
          <w:szCs w:val="20"/>
        </w:rPr>
        <w:t xml:space="preserve"> </w:t>
      </w:r>
      <w:r w:rsidR="00920982" w:rsidRPr="00D171E5">
        <w:rPr>
          <w:rFonts w:ascii="Montserrat-Regular" w:hAnsi="Montserrat-Regular" w:cs="Montserrat-Regular"/>
          <w:kern w:val="0"/>
          <w:sz w:val="20"/>
          <w:szCs w:val="20"/>
        </w:rPr>
        <w:t>and anyone who gives financial advice on our behalf, have duties under the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="00920982" w:rsidRPr="00D171E5">
        <w:rPr>
          <w:rFonts w:ascii="Montserrat-Regular" w:hAnsi="Montserrat-Regular" w:cs="Montserrat-Regular"/>
          <w:kern w:val="0"/>
          <w:sz w:val="20"/>
          <w:szCs w:val="20"/>
        </w:rPr>
        <w:t>Financial Markets Conduct Act 2013.</w:t>
      </w:r>
    </w:p>
    <w:p w14:paraId="22F57F19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6D53BBD0" w14:textId="2B1014AA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These duties are to:</w:t>
      </w:r>
    </w:p>
    <w:p w14:paraId="16880AE2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7A7F51AD" w14:textId="77777777" w:rsidR="0030249B" w:rsidRPr="00D171E5" w:rsidRDefault="00920982" w:rsidP="009209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Meet the standards of competence, knowledge, and skill and the standards of ethical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behaviour, conduct, and client care set out in the Code of Professional Conduct for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Financial Advice Providers.</w:t>
      </w:r>
    </w:p>
    <w:p w14:paraId="6F1C313D" w14:textId="77777777" w:rsidR="0030249B" w:rsidRPr="00D171E5" w:rsidRDefault="00920982" w:rsidP="009209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Give priority to your interests.</w:t>
      </w:r>
    </w:p>
    <w:p w14:paraId="2F0691D0" w14:textId="25F2CFD7" w:rsidR="00920982" w:rsidRPr="00D171E5" w:rsidRDefault="00920982" w:rsidP="0092098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Exercise care, diligence, and skill.</w:t>
      </w:r>
    </w:p>
    <w:p w14:paraId="55970815" w14:textId="77777777" w:rsidR="0030249B" w:rsidRPr="00D171E5" w:rsidRDefault="0030249B" w:rsidP="0030249B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2A14AA50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Our Products and Product Providers</w:t>
      </w:r>
    </w:p>
    <w:p w14:paraId="7F39B640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75D6790E" w14:textId="4D68CEE1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We provide advice to our clients about home loan products.</w:t>
      </w:r>
    </w:p>
    <w:p w14:paraId="14E6E646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4EA859CA" w14:textId="791CD1B6" w:rsidR="00920982" w:rsidRPr="00D171E5" w:rsidRDefault="00920982" w:rsidP="003024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We provide advice about products from certain providers. </w:t>
      </w:r>
    </w:p>
    <w:p w14:paraId="3C798BA9" w14:textId="77777777" w:rsidR="0030249B" w:rsidRPr="00D171E5" w:rsidRDefault="0030249B" w:rsidP="0030249B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2B8969CF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For lenders we work with: AIA Go Home Loan, ANZ, ASB, ASAP Finance Limited, Avanti</w:t>
      </w:r>
    </w:p>
    <w:p w14:paraId="024CC63D" w14:textId="3505C174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Finance, </w:t>
      </w:r>
      <w:proofErr w:type="spellStart"/>
      <w:r w:rsidRPr="00D171E5">
        <w:rPr>
          <w:rFonts w:ascii="Montserrat-Regular" w:hAnsi="Montserrat-Regular" w:cs="Montserrat-Regular"/>
          <w:kern w:val="0"/>
          <w:sz w:val="20"/>
          <w:szCs w:val="20"/>
        </w:rPr>
        <w:t>Basecorp</w:t>
      </w:r>
      <w:proofErr w:type="spellEnd"/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Finance, BIZCAP, BNZ, CFML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,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Cressida Capital, DBR, </w:t>
      </w:r>
      <w:proofErr w:type="spellStart"/>
      <w:r w:rsidRPr="00D171E5">
        <w:rPr>
          <w:rFonts w:ascii="Montserrat-Regular" w:hAnsi="Montserrat-Regular" w:cs="Montserrat-Regular"/>
          <w:kern w:val="0"/>
          <w:sz w:val="20"/>
          <w:szCs w:val="20"/>
        </w:rPr>
        <w:t>Finbase</w:t>
      </w:r>
      <w:proofErr w:type="spellEnd"/>
      <w:r w:rsidRPr="00D171E5">
        <w:rPr>
          <w:rFonts w:ascii="Montserrat-Regular" w:hAnsi="Montserrat-Regular" w:cs="Montserrat-Regular"/>
          <w:kern w:val="0"/>
          <w:sz w:val="20"/>
          <w:szCs w:val="20"/>
        </w:rPr>
        <w:t>, First Mortgage Trust, General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Finance, Heartland Bank, </w:t>
      </w:r>
      <w:proofErr w:type="spellStart"/>
      <w:r w:rsidRPr="00D171E5">
        <w:rPr>
          <w:rFonts w:ascii="Montserrat-Regular" w:hAnsi="Montserrat-Regular" w:cs="Montserrat-Regular"/>
          <w:kern w:val="0"/>
          <w:sz w:val="20"/>
          <w:szCs w:val="20"/>
        </w:rPr>
        <w:t>Kiwibank</w:t>
      </w:r>
      <w:proofErr w:type="spellEnd"/>
      <w:r w:rsidRPr="00D171E5">
        <w:rPr>
          <w:rFonts w:ascii="Montserrat-Regular" w:hAnsi="Montserrat-Regular" w:cs="Montserrat-Regular"/>
          <w:kern w:val="0"/>
          <w:sz w:val="20"/>
          <w:szCs w:val="20"/>
        </w:rPr>
        <w:t>, Liberty Financial Limited, Midlands Funds Management, Pallas Capital, Pepper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Money, PROSPA, SBS Bank, The Co-operative Bank</w:t>
      </w:r>
      <w:r w:rsidR="00DB1254">
        <w:rPr>
          <w:rFonts w:ascii="Montserrat-Regular" w:hAnsi="Montserrat-Regular" w:cs="Montserrat-Regular"/>
          <w:kern w:val="0"/>
          <w:sz w:val="20"/>
          <w:szCs w:val="20"/>
        </w:rPr>
        <w:t xml:space="preserve">, TSB,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Unity,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Westpac.</w:t>
      </w:r>
    </w:p>
    <w:p w14:paraId="1A205AA5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i/>
          <w:iCs/>
          <w:kern w:val="0"/>
          <w:sz w:val="20"/>
          <w:szCs w:val="20"/>
        </w:rPr>
      </w:pPr>
    </w:p>
    <w:p w14:paraId="0F6E3158" w14:textId="2CF3A57C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Fees and Expenses</w:t>
      </w:r>
    </w:p>
    <w:p w14:paraId="7FFCE595" w14:textId="031CA583" w:rsidR="00920982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Generally,</w:t>
      </w:r>
      <w:r w:rsidR="00920982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we won’t charge you any fees for the advice that we provide to you. This is possible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="00920982" w:rsidRPr="00D171E5">
        <w:rPr>
          <w:rFonts w:ascii="Montserrat-Regular" w:hAnsi="Montserrat-Regular" w:cs="Montserrat-Regular"/>
          <w:kern w:val="0"/>
          <w:sz w:val="20"/>
          <w:szCs w:val="20"/>
        </w:rPr>
        <w:t>because, if you act on the advice given, we usually receive commission from the applicable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="00920982" w:rsidRPr="00D171E5">
        <w:rPr>
          <w:rFonts w:ascii="Montserrat-Regular" w:hAnsi="Montserrat-Regular" w:cs="Montserrat-Regular"/>
          <w:kern w:val="0"/>
          <w:sz w:val="20"/>
          <w:szCs w:val="20"/>
        </w:rPr>
        <w:t>product provider on settlement of a mortgage. There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="00920982" w:rsidRPr="00D171E5">
        <w:rPr>
          <w:rFonts w:ascii="Montserrat-Regular" w:hAnsi="Montserrat-Regular" w:cs="Montserrat-Regular"/>
          <w:kern w:val="0"/>
          <w:sz w:val="20"/>
          <w:szCs w:val="20"/>
        </w:rPr>
        <w:t>are some exceptions to this general position which are explained below.</w:t>
      </w:r>
    </w:p>
    <w:p w14:paraId="60889C06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2400943E" w14:textId="4AACC183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We may charge you a one-off fee in the following situations:</w:t>
      </w:r>
    </w:p>
    <w:p w14:paraId="767577EE" w14:textId="77777777" w:rsidR="00D171E5" w:rsidRPr="00D171E5" w:rsidRDefault="00D171E5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352666EE" w14:textId="655A972B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(a) No commission: If you request that we provide services in relation to a product or service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and we do not receive a commission. Any such fee would be agreed and authorised by you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in writing before we complete the 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>services and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would be based on an estimate of the time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spent providing the advice.</w:t>
      </w:r>
    </w:p>
    <w:p w14:paraId="0E9ECACF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0DF94463" w14:textId="6B908D4E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lastRenderedPageBreak/>
        <w:t>This may arise in the rare event that you request that we provide Services in relation to either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a product that is offered by a provider that we do not hold an accreditation with, or a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product that is outside our usual arrangements with our product providers.</w:t>
      </w:r>
    </w:p>
    <w:p w14:paraId="7B66F52C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2EC1527F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(b) Repayment of commission: If a product or service provider requires that we repay</w:t>
      </w:r>
    </w:p>
    <w:p w14:paraId="4986A562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commission within 28 months of settlement of your mortgage or issuance of your risk</w:t>
      </w:r>
    </w:p>
    <w:p w14:paraId="7B6E4353" w14:textId="3BAF8F92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insurance policy. Any such fee would be no more than $3,000 (plus GST, if any) and would be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calculated based on a rate of $250 (plus GST, if any) per hour of the financial adviser’s time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spent providing services to you in connection with the applicable mortgage or insurance.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The fee charged will not exceed the amount of commission clawed back from the lender.</w:t>
      </w:r>
    </w:p>
    <w:p w14:paraId="47BB8EF4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086C2E61" w14:textId="10400554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Should we need to charge you a fee, you will be invoiced and will be given 30 days to make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payment.</w:t>
      </w:r>
    </w:p>
    <w:p w14:paraId="7843DBE1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393C03F3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Commissions and other incentives</w:t>
      </w:r>
    </w:p>
    <w:p w14:paraId="544DEFA7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4E704A68" w14:textId="5E574063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If you proceed with a product </w:t>
      </w:r>
      <w:proofErr w:type="gramStart"/>
      <w:r w:rsidRPr="00D171E5">
        <w:rPr>
          <w:rFonts w:ascii="Montserrat-Regular" w:hAnsi="Montserrat-Regular" w:cs="Montserrat-Regular"/>
          <w:kern w:val="0"/>
          <w:sz w:val="20"/>
          <w:szCs w:val="20"/>
        </w:rPr>
        <w:t>on the basis of</w:t>
      </w:r>
      <w:proofErr w:type="gramEnd"/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financial advice given by your adviser, the</w:t>
      </w:r>
    </w:p>
    <w:p w14:paraId="47CE95F8" w14:textId="6B5C796C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adviser, adviser business, and/or the licensee usually receives commission on settlement of a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loan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.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We may also receive a commission payment or referral fee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for business referred to other businesses.</w:t>
      </w:r>
    </w:p>
    <w:p w14:paraId="0223530F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5B5C28E7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The types of payments that may be received include:</w:t>
      </w:r>
    </w:p>
    <w:p w14:paraId="7A9D483F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6394685C" w14:textId="77777777" w:rsidR="0030249B" w:rsidRPr="00D171E5" w:rsidRDefault="00920982" w:rsidP="009209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Upfront commission (calculated as a percentage of the first year's premium (in the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case of insurance products) or a percentage of the loan at drawdown (in the case of a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loan)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>.</w:t>
      </w:r>
    </w:p>
    <w:p w14:paraId="6A4649C9" w14:textId="77777777" w:rsidR="0030249B" w:rsidRPr="00D171E5" w:rsidRDefault="00920982" w:rsidP="009209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Renewal or trail commission calculated as a percentage of the premium paid for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each year the policy is in force (in the case of insurance products) or a percentage of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the loan outstanding at the relevant time (in the case of a loan).</w:t>
      </w:r>
    </w:p>
    <w:p w14:paraId="0A9AFCFB" w14:textId="77777777" w:rsidR="0030249B" w:rsidRPr="00D171E5" w:rsidRDefault="00920982" w:rsidP="009209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Fixed </w:t>
      </w:r>
      <w:proofErr w:type="gramStart"/>
      <w:r w:rsidRPr="00D171E5">
        <w:rPr>
          <w:rFonts w:ascii="Montserrat-Regular" w:hAnsi="Montserrat-Regular" w:cs="Montserrat-Regular"/>
          <w:kern w:val="0"/>
          <w:sz w:val="20"/>
          <w:szCs w:val="20"/>
        </w:rPr>
        <w:t>rate</w:t>
      </w:r>
      <w:proofErr w:type="gramEnd"/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roll over fee (from some product providers if we assist in refixing your loan).</w:t>
      </w:r>
    </w:p>
    <w:p w14:paraId="50B37809" w14:textId="77777777" w:rsidR="0030249B" w:rsidRPr="00D171E5" w:rsidRDefault="00920982" w:rsidP="009209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Referral fees.</w:t>
      </w:r>
    </w:p>
    <w:p w14:paraId="707BC99E" w14:textId="282FE6BC" w:rsidR="00920982" w:rsidRPr="00D171E5" w:rsidRDefault="00920982" w:rsidP="0092098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Other incentives or rewards, for example gifts or tickets to events.</w:t>
      </w:r>
    </w:p>
    <w:p w14:paraId="7329965A" w14:textId="77777777" w:rsidR="0030249B" w:rsidRPr="00D171E5" w:rsidRDefault="0030249B" w:rsidP="0030249B">
      <w:pPr>
        <w:pStyle w:val="ListParagraph"/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57F29AD9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Further information about the commissions and incentives that are relevant to the advice</w:t>
      </w:r>
    </w:p>
    <w:p w14:paraId="46F91A30" w14:textId="72C8DFA1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you may receive, including the maximum percentages used to calculate the 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>c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ommissions,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will be given to you by your Financial Adviser.</w:t>
      </w:r>
    </w:p>
    <w:p w14:paraId="47B28F91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70B99998" w14:textId="3F728A6F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This commission is used to remunerate the financial adviser that provides the advice, and to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pay the expenses associated with running our business including any rent, staff costs and IT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resources. From this commission we also pay NZ Financial Services Group Limited for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services they provide to us in connection with our authorisation under their licence from the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Financial Markets Authority.</w:t>
      </w:r>
    </w:p>
    <w:p w14:paraId="28B468F4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</w:p>
    <w:p w14:paraId="1B463D1B" w14:textId="28358823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Conflicts of Interest</w:t>
      </w:r>
    </w:p>
    <w:p w14:paraId="0DC406CF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70A2E309" w14:textId="2C2B21FF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We may attend events hosted by industry associations, product providers, and NZFSG, at</w:t>
      </w:r>
    </w:p>
    <w:p w14:paraId="566E6D77" w14:textId="08C171B8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which product providers discuss and provide information about their products. We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manage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this potential conflict of interest by ensuring we follow an advice process that ensures we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prioritise your interests and recommend products that are suitable for you regardless of the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information received at such events.</w:t>
      </w:r>
    </w:p>
    <w:p w14:paraId="656A5122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We take steps to ensure that the conflicts of interest, including receipt of commissions or</w:t>
      </w:r>
    </w:p>
    <w:p w14:paraId="27769C7D" w14:textId="703A556D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other incentives, does not influence the advice we give to you and that our advisers prioritise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your interests by recommending the best product for your purpose regardless of the type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and amount of commission we or they may receive.</w:t>
      </w:r>
    </w:p>
    <w:p w14:paraId="6689A477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0C5E2F0C" w14:textId="08EC2665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lastRenderedPageBreak/>
        <w:t>We do this by:</w:t>
      </w:r>
    </w:p>
    <w:p w14:paraId="7671C373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06D73CA8" w14:textId="77777777" w:rsidR="0030249B" w:rsidRPr="00D171E5" w:rsidRDefault="00920982" w:rsidP="009209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Ensuring our advisers follow an advice process that ensures they understand your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needs and goals and that their recommendations meet those needs and goals.</w:t>
      </w:r>
    </w:p>
    <w:p w14:paraId="584F94D1" w14:textId="77777777" w:rsidR="0030249B" w:rsidRPr="00D171E5" w:rsidRDefault="00920982" w:rsidP="009209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Ensuring our advisers receive regular training on how to manage conflicts of interest.</w:t>
      </w:r>
    </w:p>
    <w:p w14:paraId="13ED2358" w14:textId="34BBA732" w:rsidR="00920982" w:rsidRPr="00D171E5" w:rsidRDefault="00920982" w:rsidP="0092098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Providing you with a schedule showing commission amounts and types by product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provider. This schedule is contained within each Financial Adviser’s personalised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Disclosure Guide. A Financial Adviser will provide you with more information about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commissions during the advice process.</w:t>
      </w:r>
    </w:p>
    <w:p w14:paraId="00F6F0FB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22FF1967" w14:textId="6C70D359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If there are any conflicts of interest apart from commission that could potentially influence</w:t>
      </w:r>
      <w:r w:rsid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the advice that we give, these will be shown in your Financial Adviser’s Disclosure Guide.</w:t>
      </w:r>
    </w:p>
    <w:p w14:paraId="13125F95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Italic" w:hAnsi="Montserrat-Italic" w:cs="Montserrat-Italic"/>
          <w:i/>
          <w:iCs/>
          <w:kern w:val="0"/>
          <w:sz w:val="20"/>
          <w:szCs w:val="20"/>
        </w:rPr>
      </w:pPr>
    </w:p>
    <w:p w14:paraId="3C65612C" w14:textId="1C87714D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Bold" w:hAnsi="Montserrat-Bold" w:cs="Montserrat-Bold"/>
          <w:b/>
          <w:bCs/>
          <w:kern w:val="0"/>
          <w:sz w:val="20"/>
          <w:szCs w:val="20"/>
        </w:rPr>
      </w:pPr>
      <w:r w:rsidRPr="00D171E5">
        <w:rPr>
          <w:rFonts w:ascii="Montserrat-Bold" w:hAnsi="Montserrat-Bold" w:cs="Montserrat-Bold"/>
          <w:b/>
          <w:bCs/>
          <w:kern w:val="0"/>
          <w:sz w:val="20"/>
          <w:szCs w:val="20"/>
        </w:rPr>
        <w:t>Complaints</w:t>
      </w:r>
    </w:p>
    <w:p w14:paraId="163EC97C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184DB0A0" w14:textId="3DA0D63E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If you have a complaint about our 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>service,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you need to tell us about it. You can contact </w:t>
      </w:r>
      <w:proofErr w:type="gramStart"/>
      <w:r w:rsidRPr="00D171E5">
        <w:rPr>
          <w:rFonts w:ascii="Montserrat-Regular" w:hAnsi="Montserrat-Regular" w:cs="Montserrat-Regular"/>
          <w:kern w:val="0"/>
          <w:sz w:val="20"/>
          <w:szCs w:val="20"/>
        </w:rPr>
        <w:t>our</w:t>
      </w:r>
      <w:proofErr w:type="gramEnd"/>
    </w:p>
    <w:p w14:paraId="29EB84EB" w14:textId="65C97B2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internal complaints service by phoning us on </w:t>
      </w:r>
      <w:r w:rsidR="00DB1254" w:rsidRPr="00DB1254">
        <w:rPr>
          <w:rFonts w:ascii="Montserrat-Regular" w:hAnsi="Montserrat-Regular" w:cs="Montserrat-Regular"/>
          <w:kern w:val="0"/>
          <w:sz w:val="20"/>
          <w:szCs w:val="20"/>
        </w:rPr>
        <w:t>06 833 6149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or emailing us at </w:t>
      </w:r>
      <w:hyperlink r:id="rId6" w:history="1">
        <w:r w:rsidR="00DB1254" w:rsidRPr="00DB1254">
          <w:rPr>
            <w:rStyle w:val="Hyperlink"/>
            <w:rFonts w:ascii="Montserrat-Regular" w:hAnsi="Montserrat-Regular" w:cs="Montserrat-Regular"/>
            <w:kern w:val="0"/>
            <w:sz w:val="20"/>
            <w:szCs w:val="20"/>
          </w:rPr>
          <w:t>info@theteam.co.nz</w:t>
        </w:r>
      </w:hyperlink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with the</w:t>
      </w:r>
      <w:r w:rsidR="00D171E5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heading Complaint - (Your Name).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</w:p>
    <w:p w14:paraId="325B612D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4B5702AA" w14:textId="658820B3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Please set out the nature of your complaint, and the resolution you are seeking. We will</w:t>
      </w:r>
    </w:p>
    <w:p w14:paraId="640DFEAF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acknowledge receipt of this within 24 hours. We will then record your complaint in </w:t>
      </w:r>
      <w:proofErr w:type="gramStart"/>
      <w:r w:rsidRPr="00D171E5">
        <w:rPr>
          <w:rFonts w:ascii="Montserrat-Regular" w:hAnsi="Montserrat-Regular" w:cs="Montserrat-Regular"/>
          <w:kern w:val="0"/>
          <w:sz w:val="20"/>
          <w:szCs w:val="20"/>
        </w:rPr>
        <w:t>our</w:t>
      </w:r>
      <w:proofErr w:type="gramEnd"/>
    </w:p>
    <w:p w14:paraId="27DE8D2E" w14:textId="3D6DE044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Complaints Register and notify our Licence Holder. We may want to meet with you to better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understand your issues. We will then investigate your complaint and provide a response to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you within 7 working days of receiving your complaint. If we need more time to investigate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>your complaint, we’ll let you know.</w:t>
      </w:r>
    </w:p>
    <w:p w14:paraId="5409518D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1FDAE545" w14:textId="286D011A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If we cannot agree on a </w:t>
      </w:r>
      <w:r w:rsidR="0030249B" w:rsidRPr="00D171E5">
        <w:rPr>
          <w:rFonts w:ascii="Montserrat-Regular" w:hAnsi="Montserrat-Regular" w:cs="Montserrat-Regular"/>
          <w:kern w:val="0"/>
          <w:sz w:val="20"/>
          <w:szCs w:val="20"/>
        </w:rPr>
        <w:t>resolution,</w:t>
      </w:r>
      <w:r w:rsidRPr="00D171E5">
        <w:rPr>
          <w:rFonts w:ascii="Montserrat-Regular" w:hAnsi="Montserrat-Regular" w:cs="Montserrat-Regular"/>
          <w:kern w:val="0"/>
          <w:sz w:val="20"/>
          <w:szCs w:val="20"/>
        </w:rPr>
        <w:t xml:space="preserve"> you can refer your complaint to our external dispute</w:t>
      </w:r>
    </w:p>
    <w:p w14:paraId="2B9A4D74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resolution service. This service is free and independent and will assist you to resolve things</w:t>
      </w:r>
    </w:p>
    <w:p w14:paraId="599A1642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with us.</w:t>
      </w:r>
    </w:p>
    <w:p w14:paraId="600E2E64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0754C7E2" w14:textId="78D009A0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Details of this service are:</w:t>
      </w:r>
    </w:p>
    <w:p w14:paraId="4F4AAE68" w14:textId="77777777" w:rsidR="0030249B" w:rsidRPr="00D171E5" w:rsidRDefault="0030249B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</w:p>
    <w:p w14:paraId="5A84DDC6" w14:textId="1B16A87E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Financial Services Complaints Limited (FSCL)</w:t>
      </w:r>
    </w:p>
    <w:p w14:paraId="363CE95F" w14:textId="77777777" w:rsidR="00920982" w:rsidRPr="00D171E5" w:rsidRDefault="00920982" w:rsidP="00920982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kern w:val="0"/>
          <w:sz w:val="20"/>
          <w:szCs w:val="20"/>
        </w:rPr>
      </w:pPr>
      <w:r w:rsidRPr="00D171E5">
        <w:rPr>
          <w:rFonts w:ascii="Montserrat-Regular" w:hAnsi="Montserrat-Regular" w:cs="Montserrat-Regular"/>
          <w:kern w:val="0"/>
          <w:sz w:val="20"/>
          <w:szCs w:val="20"/>
        </w:rPr>
        <w:t>Phone: 0800 347 257</w:t>
      </w:r>
    </w:p>
    <w:p w14:paraId="38E94C5F" w14:textId="59D19F54" w:rsidR="00920982" w:rsidRPr="00D171E5" w:rsidRDefault="00920982" w:rsidP="00920982">
      <w:r w:rsidRPr="00D171E5">
        <w:rPr>
          <w:rFonts w:ascii="Montserrat-Regular" w:hAnsi="Montserrat-Regular" w:cs="Montserrat-Regular"/>
          <w:kern w:val="0"/>
          <w:sz w:val="20"/>
          <w:szCs w:val="20"/>
        </w:rPr>
        <w:t>Email: complaints@fscl.org.nz</w:t>
      </w:r>
    </w:p>
    <w:sectPr w:rsidR="00920982" w:rsidRPr="00D171E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-Italic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Bold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ontserrat-Regular">
    <w:altName w:val="Montserra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064C96"/>
    <w:multiLevelType w:val="hybridMultilevel"/>
    <w:tmpl w:val="CA6C174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3C5A4A"/>
    <w:multiLevelType w:val="hybridMultilevel"/>
    <w:tmpl w:val="0F847AE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573EF4"/>
    <w:multiLevelType w:val="hybridMultilevel"/>
    <w:tmpl w:val="D052504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0947702">
    <w:abstractNumId w:val="2"/>
  </w:num>
  <w:num w:numId="2" w16cid:durableId="1853765106">
    <w:abstractNumId w:val="0"/>
  </w:num>
  <w:num w:numId="3" w16cid:durableId="53831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982"/>
    <w:rsid w:val="0030249B"/>
    <w:rsid w:val="00420E03"/>
    <w:rsid w:val="007354B1"/>
    <w:rsid w:val="00920982"/>
    <w:rsid w:val="00B76CB1"/>
    <w:rsid w:val="00D171E5"/>
    <w:rsid w:val="00DB1254"/>
    <w:rsid w:val="00E7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C1224F"/>
  <w15:chartTrackingRefBased/>
  <w15:docId w15:val="{81BCB46B-EE6F-42AD-BBF8-EE4ADCA2A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09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09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09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09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09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09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09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09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09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09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09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09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09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09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09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09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09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09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09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09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09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09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09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09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09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09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09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09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09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171E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171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theteam.co.nz" TargetMode="External"/><Relationship Id="rId5" Type="http://schemas.openxmlformats.org/officeDocument/2006/relationships/hyperlink" Target="mailto:info@theteam.co.n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1106</Words>
  <Characters>6308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Fafeita</dc:creator>
  <cp:keywords/>
  <dc:description/>
  <cp:lastModifiedBy>Shaun Fafeita</cp:lastModifiedBy>
  <cp:revision>2</cp:revision>
  <dcterms:created xsi:type="dcterms:W3CDTF">2025-06-25T06:59:00Z</dcterms:created>
  <dcterms:modified xsi:type="dcterms:W3CDTF">2025-06-25T06:59:00Z</dcterms:modified>
</cp:coreProperties>
</file>